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2" w:rsidRPr="00EB52B2" w:rsidRDefault="003D2768" w:rsidP="00C762DB">
      <w:pPr>
        <w:spacing w:after="300" w:line="405" w:lineRule="atLeast"/>
        <w:textAlignment w:val="top"/>
        <w:rPr>
          <w:rFonts w:ascii="Arial" w:eastAsia="Times New Roman" w:hAnsi="Arial" w:cs="Arial"/>
          <w:b/>
          <w:bCs/>
          <w:color w:val="333333"/>
          <w:spacing w:val="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pacing w:val="3"/>
          <w:sz w:val="28"/>
          <w:szCs w:val="28"/>
        </w:rPr>
        <w:t>REPRODUCTION IN PORIFERA</w:t>
      </w:r>
      <w:r w:rsidR="00EB52B2" w:rsidRPr="00EB52B2">
        <w:rPr>
          <w:rFonts w:ascii="Arial" w:eastAsia="Times New Roman" w:hAnsi="Arial" w:cs="Arial"/>
          <w:b/>
          <w:bCs/>
          <w:color w:val="333333"/>
          <w:spacing w:val="3"/>
          <w:sz w:val="28"/>
          <w:szCs w:val="28"/>
        </w:rPr>
        <w:t>: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Sponges reproduce both asexually and sexually and they also possess the power of regeneration due which it is almost impossible to kill a sponge. Their sexual reproduction is similar to higher animals even though their body organization is primitive type.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ASEXUAL REPRODUCTION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Regeneration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All sponges possess a remarkable ability to regenerate lost parts. A piece cut from the body of a sponge is capable of growing into a complete sponge. If a sponge is cut into small pieces and squeezed through a fine silken mesh to separate cells, the separated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amoebocytes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will reunite and in a few days will develop canals, flagellated chambers and skeleton and grow up into a new sponge. This power of regeneration helps the sponges to repair the damage caused in the harsh environment.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Budding &amp; Branching</w:t>
      </w:r>
    </w:p>
    <w:p w:rsidR="00EB52B2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In budding, numerous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gather near the surface resulting in a small outgrowth on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pinacoderm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. The bud thus formed grows outward to produce a small individual, which either remains attached with the parent individual or gets detached and </w:t>
      </w:r>
    </w:p>
    <w:p w:rsid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proofErr w:type="gram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grows</w:t>
      </w:r>
      <w:proofErr w:type="gram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by branching and secondary branching and many small vertical buds grow out of it.</w:t>
      </w:r>
    </w:p>
    <w:p w:rsidR="00A47DAD" w:rsidRPr="00C762DB" w:rsidRDefault="00A47DAD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>
        <w:rPr>
          <w:noProof/>
        </w:rPr>
        <w:drawing>
          <wp:inline distT="0" distB="0" distL="0" distR="0">
            <wp:extent cx="3048000" cy="2057400"/>
            <wp:effectExtent l="19050" t="0" r="0" b="0"/>
            <wp:docPr id="2" name="Picture 1" descr="http://media5.picsearch.com/is?tzy33HHCwjNh-QPs-bauw8su910ILfC1T9mDXiDNwMg&amp;height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tzy33HHCwjNh-QPs-bauw8su910ILfC1T9mDXiDNwMg&amp;height=2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lastRenderedPageBreak/>
        <w:t>Fission &amp; Fragmentation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In some </w:t>
      </w:r>
      <w:proofErr w:type="gram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sponges</w:t>
      </w:r>
      <w:proofErr w:type="gram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multiplication takes place by developing a line of fission and throwing off parts of the body which later can develop into a new sponge. Sponges can break into several pieces along several lines of weakness and breaking into fragments that are capable to tide over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unfavourable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environmental conditions and grow into complete sponges in the following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season.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Reduction bodies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Many fresh water and marine sponges disintegrate in adverse environmental conditions particularly in winter, leaving small rounded balls called reduction bodies. Each body consists of an internal mass of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amoebocytes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, covered externally by a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pinacoderm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spicules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. When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conditions return, these reduction bodies grow into complete new sponges.</w:t>
      </w:r>
    </w:p>
    <w:p w:rsidR="00296C63" w:rsidRDefault="00296C63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>
        <w:rPr>
          <w:noProof/>
        </w:rPr>
        <w:drawing>
          <wp:inline distT="0" distB="0" distL="0" distR="0">
            <wp:extent cx="4272855" cy="2762250"/>
            <wp:effectExtent l="19050" t="0" r="0" b="0"/>
            <wp:docPr id="4" name="Picture 4" descr="http://media1.picsearch.com/is?mwxk3o3YImRdBAIqtwhsDK37JFb71AxxzLPRYbHuQ0Q&amp;height=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1.picsearch.com/is?mwxk3o3YImRdBAIqtwhsDK37JFb71AxxzLPRYbHuQ0Q&amp;height=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5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8E" w:rsidRDefault="0026128E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</w:p>
    <w:p w:rsidR="0026128E" w:rsidRDefault="0026128E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</w:p>
    <w:p w:rsidR="0026128E" w:rsidRDefault="0026128E" w:rsidP="00363315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</w:p>
    <w:p w:rsidR="00363315" w:rsidRPr="0026128E" w:rsidRDefault="00363315" w:rsidP="00C762DB">
      <w:pPr>
        <w:spacing w:after="300" w:line="405" w:lineRule="atLeast"/>
        <w:textAlignment w:val="top"/>
        <w:rPr>
          <w:rFonts w:ascii="Arial" w:eastAsia="Times New Roman" w:hAnsi="Arial" w:cs="Arial"/>
          <w:b/>
          <w:bCs/>
          <w:color w:val="333333"/>
          <w:spacing w:val="3"/>
          <w:sz w:val="23"/>
        </w:rPr>
      </w:pPr>
      <w:proofErr w:type="spellStart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lastRenderedPageBreak/>
        <w:t>Gemmules</w:t>
      </w:r>
      <w:proofErr w:type="spellEnd"/>
    </w:p>
    <w:p w:rsidR="004F469E" w:rsidRDefault="004F469E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>
        <w:rPr>
          <w:noProof/>
        </w:rPr>
        <w:drawing>
          <wp:inline distT="0" distB="0" distL="0" distR="0">
            <wp:extent cx="3743325" cy="3267075"/>
            <wp:effectExtent l="19050" t="0" r="9525" b="0"/>
            <wp:docPr id="7" name="Picture 7" descr="http://media1.picsearch.com/is?nsOzE9ahcuF58Ct5JrIIBsSHqqwIGKcGpo2muIQeUFY&amp;height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1.picsearch.com/is?nsOzE9ahcuF58Ct5JrIIBsSHqqwIGKcGpo2muIQeUFY&amp;height=2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48" cy="327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0D" w:rsidRDefault="0014700D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Fresh water sponges such as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Spongilla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 as well as some marine forms such as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Ficulina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 xml:space="preserve">, 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Suberites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,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 and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Tethya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 possess the remarkable ability to produce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specialised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bodies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gemmules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, which survive during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unfavourable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conditions and germinate to produce new sponges. For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gemmule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formation,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laden with food material in the form of glycoprotein or lipoprotein get aggregated into a mass.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Amoebocytes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surround the central mass of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secrete a thick hard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chitinous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inner layer and an outer membranous layer over it.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Scleroblasts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secrete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amphidisc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spicules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between the inner and outer membranes. A fully formed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gemmule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is a small hard ball having a mass of food laden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enclosed in a double layered tough envelope with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amphidisc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spicules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in between. There is a small opening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micropyle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through which the cells come out during development 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conditions.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In autumn fresh water sponges die and disintegrate, leaving behind a large number of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gemmules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, which remain viable throughout the winter. Same thing happens during summer when water available is low. 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favourable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conditions with abundance of water 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lastRenderedPageBreak/>
        <w:t xml:space="preserve">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gemmules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begin to hatch and their living contents escape through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micropyles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develop into new sponges by collecting themselves together.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SEXUAL REPRODUCTION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Sexual reproduction involves formation of sperms and ova. The sex cells arise either from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or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choanocytes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 Although most sponges are hermaphrodite but cross-fertilization is the rule because eggs and sperms are produced at different times.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Oocytes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are produced inside the body and remain inside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mesogloea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waiting for fertilization. In sperm formation,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trophocyte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cells are involved and 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demospongiae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choanocytes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form sperms and leave the body of sponge through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osculum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in large numbers.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Sperms from water enter the body of another sponge through canal system and reach the flagellate chambers, where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choanocytes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trap them. Acting as nurse cells,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choanocytes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transport the sperm body without tail to the mature ova that wait in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mesogloea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 The sperm nucleus then fuses with the nucleus of ovum, ensuring internal fertilization.</w:t>
      </w:r>
    </w:p>
    <w:p w:rsidR="00DB1DEC" w:rsidRPr="00C762DB" w:rsidRDefault="00DB1DEC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DB1DEC">
        <w:rPr>
          <w:rFonts w:ascii="Arial" w:eastAsia="Times New Roman" w:hAnsi="Arial" w:cs="Arial"/>
          <w:noProof/>
          <w:color w:val="333333"/>
          <w:spacing w:val="3"/>
          <w:sz w:val="23"/>
          <w:szCs w:val="23"/>
        </w:rPr>
        <w:drawing>
          <wp:inline distT="0" distB="0" distL="0" distR="0">
            <wp:extent cx="5943600" cy="2605405"/>
            <wp:effectExtent l="19050" t="0" r="0" b="0"/>
            <wp:docPr id="6" name="Picture 20" descr="Systematic Representation of Sexual Reproduction in Sy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ystematic Representation of Sexual Reproduction in Sy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65" w:rsidRDefault="00895865" w:rsidP="00C762DB">
      <w:pPr>
        <w:spacing w:after="300" w:line="405" w:lineRule="atLeast"/>
        <w:textAlignment w:val="top"/>
        <w:rPr>
          <w:rFonts w:ascii="Arial" w:eastAsia="Times New Roman" w:hAnsi="Arial" w:cs="Arial"/>
          <w:b/>
          <w:bCs/>
          <w:color w:val="333333"/>
          <w:spacing w:val="3"/>
          <w:sz w:val="23"/>
        </w:rPr>
      </w:pPr>
    </w:p>
    <w:p w:rsidR="00895865" w:rsidRPr="00C762DB" w:rsidRDefault="00895865" w:rsidP="00895865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lastRenderedPageBreak/>
        <w:t>LARVAL DEVELOPMENT</w:t>
      </w:r>
    </w:p>
    <w:p w:rsidR="00895865" w:rsidRPr="00895865" w:rsidRDefault="00895865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Early development takes place within maternal sponge body leading to the formation of a larval stage. Cleavage is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holoblastic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radial forming different types of blastula and gastrula.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Development in </w:t>
      </w:r>
      <w:proofErr w:type="spellStart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syconoid</w:t>
      </w:r>
      <w:proofErr w:type="spellEnd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 sponges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syconoid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sponges the larva produced is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stomoblastula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, since it has a mouth and feeds on nurse cells within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mesogloea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grows for a few days. </w:t>
      </w:r>
      <w:proofErr w:type="spellStart"/>
      <w:proofErr w:type="gram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Stomoblastula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after growing changes into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amphiblastula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by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inverting inside out bringing the flagellated cells on the outer surface so that the larva can swim in water.</w:t>
      </w:r>
      <w:proofErr w:type="gram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Amphiblastula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leaves the sponge body and swims freely in water feeding on micro-organisms.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Gastrulation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is by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invagination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of micromeres, bringing the flagellated cells again inside the body, lining a cavity which later becomes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spongocoel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. Cells on the outer surface transform into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pinacocytes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</w:t>
      </w:r>
    </w:p>
    <w:p w:rsid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Gastrula swims about and settles on a rock with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blastopore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against the rock and grows to form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olynthus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stage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that looks like a little sponge. An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osculum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is formed later.</w:t>
      </w:r>
    </w:p>
    <w:p w:rsidR="00895865" w:rsidRPr="00C762DB" w:rsidRDefault="00895865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895865">
        <w:rPr>
          <w:rFonts w:ascii="Arial" w:eastAsia="Times New Roman" w:hAnsi="Arial" w:cs="Arial"/>
          <w:noProof/>
          <w:color w:val="333333"/>
          <w:spacing w:val="3"/>
          <w:sz w:val="23"/>
          <w:szCs w:val="23"/>
        </w:rPr>
        <w:lastRenderedPageBreak/>
        <w:drawing>
          <wp:inline distT="0" distB="0" distL="0" distR="0">
            <wp:extent cx="5943600" cy="5181408"/>
            <wp:effectExtent l="19050" t="0" r="0" b="0"/>
            <wp:docPr id="8" name="Picture 21" descr="Development of Sy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velopment of Sy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Development in </w:t>
      </w:r>
      <w:proofErr w:type="spellStart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asconoid</w:t>
      </w:r>
      <w:proofErr w:type="spellEnd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 and </w:t>
      </w:r>
      <w:proofErr w:type="spellStart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leuconoid</w:t>
      </w:r>
      <w:proofErr w:type="spellEnd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 sponges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In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asconoid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leuconoid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sponges, the blastula is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coeloblastula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 as it does not possess a mouth but has a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blastocoel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flagella on the surface of the body. This larva escapes from the sponge body and swims about freely in water.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Gastrulation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takes place by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delamination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of the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 which are located on one end of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blastocoel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.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gradually fill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blastocoel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completely and the gastrula becomes solid. This solid gastrula is known as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stereogastrula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 xml:space="preserve">, 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parenchymula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 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or</w:t>
      </w:r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parenchymella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, 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which swims about for some time and then settles on substratum to form </w:t>
      </w:r>
      <w:proofErr w:type="spellStart"/>
      <w:proofErr w:type="gram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olynthus</w:t>
      </w:r>
      <w:proofErr w:type="spellEnd"/>
      <w:proofErr w:type="gram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stage. The inner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archaeocytes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migrate to form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pinacocytes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lastRenderedPageBreak/>
        <w:t xml:space="preserve">on the surface and the outer flagellated cells migrate towards inside to form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choanocytes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lining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spongocoel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Development with </w:t>
      </w:r>
      <w:proofErr w:type="spellStart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>Rhagon</w:t>
      </w:r>
      <w:proofErr w:type="spellEnd"/>
      <w:r w:rsidRPr="00C762DB">
        <w:rPr>
          <w:rFonts w:ascii="Arial" w:eastAsia="Times New Roman" w:hAnsi="Arial" w:cs="Arial"/>
          <w:b/>
          <w:bCs/>
          <w:color w:val="333333"/>
          <w:spacing w:val="3"/>
          <w:sz w:val="23"/>
        </w:rPr>
        <w:t xml:space="preserve"> larva</w:t>
      </w:r>
    </w:p>
    <w:p w:rsidR="00C762DB" w:rsidRPr="00C762DB" w:rsidRDefault="00C762DB" w:rsidP="00C762DB">
      <w:pPr>
        <w:spacing w:after="300" w:line="405" w:lineRule="atLeast"/>
        <w:textAlignment w:val="top"/>
        <w:rPr>
          <w:rFonts w:ascii="Arial" w:eastAsia="Times New Roman" w:hAnsi="Arial" w:cs="Arial"/>
          <w:color w:val="333333"/>
          <w:spacing w:val="3"/>
          <w:sz w:val="23"/>
          <w:szCs w:val="23"/>
        </w:rPr>
      </w:pP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In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Spongilla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, the larva is different from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parenchymula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and it is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rhagon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 larva, which has a tent-like body with a broad flat base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hypophare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 and a conical body called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spongophare</w:t>
      </w:r>
      <w:proofErr w:type="spellEnd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,</w:t>
      </w:r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 with a narrow upper end on which is located the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osculum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 There are flagellated chambers which open to the outside by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ostia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 and into the </w:t>
      </w:r>
      <w:proofErr w:type="spellStart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spongocoel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 xml:space="preserve"> by </w:t>
      </w:r>
      <w:proofErr w:type="spellStart"/>
      <w:r w:rsidRPr="00C762DB">
        <w:rPr>
          <w:rFonts w:ascii="Arial" w:eastAsia="Times New Roman" w:hAnsi="Arial" w:cs="Arial"/>
          <w:i/>
          <w:iCs/>
          <w:color w:val="333333"/>
          <w:spacing w:val="3"/>
          <w:sz w:val="23"/>
        </w:rPr>
        <w:t>apopyles</w:t>
      </w:r>
      <w:proofErr w:type="spellEnd"/>
      <w:r w:rsidRPr="00C762DB">
        <w:rPr>
          <w:rFonts w:ascii="Arial" w:eastAsia="Times New Roman" w:hAnsi="Arial" w:cs="Arial"/>
          <w:color w:val="333333"/>
          <w:spacing w:val="3"/>
          <w:sz w:val="23"/>
          <w:szCs w:val="23"/>
        </w:rPr>
        <w:t>. The sedentary larva grows to become adult.</w:t>
      </w:r>
    </w:p>
    <w:p w:rsidR="00C762DB" w:rsidRPr="00C762DB" w:rsidRDefault="00C762DB" w:rsidP="00C762DB">
      <w:pPr>
        <w:spacing w:after="0" w:line="240" w:lineRule="auto"/>
        <w:textAlignment w:val="top"/>
        <w:rPr>
          <w:rFonts w:ascii="Arial" w:eastAsia="Times New Roman" w:hAnsi="Arial" w:cs="Arial"/>
          <w:color w:val="8F969C"/>
          <w:sz w:val="24"/>
          <w:szCs w:val="24"/>
        </w:rPr>
      </w:pPr>
      <w:r w:rsidRPr="00C762DB">
        <w:rPr>
          <w:rFonts w:ascii="Arial" w:eastAsia="Times New Roman" w:hAnsi="Arial" w:cs="Arial"/>
          <w:color w:val="8F969C"/>
          <w:sz w:val="24"/>
          <w:szCs w:val="24"/>
        </w:rPr>
        <w:br/>
      </w:r>
      <w:r w:rsidRPr="00C762DB">
        <w:rPr>
          <w:rFonts w:ascii="Arial" w:eastAsia="Times New Roman" w:hAnsi="Arial" w:cs="Arial"/>
          <w:color w:val="8F969C"/>
          <w:sz w:val="24"/>
          <w:szCs w:val="24"/>
        </w:rPr>
        <w:br/>
      </w:r>
      <w:r w:rsidRPr="00C762DB">
        <w:rPr>
          <w:rFonts w:ascii="Arial" w:eastAsia="Times New Roman" w:hAnsi="Arial" w:cs="Arial"/>
          <w:color w:val="8F969C"/>
          <w:sz w:val="24"/>
          <w:szCs w:val="24"/>
        </w:rPr>
        <w:br/>
      </w:r>
    </w:p>
    <w:p w:rsidR="00DF469F" w:rsidRDefault="00DF469F" w:rsidP="00C762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C762DB" w:rsidRPr="00C762DB" w:rsidRDefault="00C762DB" w:rsidP="00C762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762D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762DB" w:rsidRPr="00C762DB" w:rsidRDefault="00C762DB" w:rsidP="00C762DB">
      <w:pPr>
        <w:shd w:val="clear" w:color="auto" w:fill="FBFBFB"/>
        <w:spacing w:after="255" w:line="240" w:lineRule="auto"/>
        <w:rPr>
          <w:rFonts w:ascii="Arial" w:eastAsia="Times New Roman" w:hAnsi="Arial" w:cs="Arial"/>
          <w:color w:val="8F969C"/>
          <w:sz w:val="24"/>
          <w:szCs w:val="24"/>
        </w:rPr>
      </w:pPr>
    </w:p>
    <w:p w:rsidR="00C762DB" w:rsidRPr="00C762DB" w:rsidRDefault="00C762DB" w:rsidP="00C762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762D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C762DB" w:rsidRPr="00C762DB" w:rsidSect="003A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68F8"/>
    <w:multiLevelType w:val="multilevel"/>
    <w:tmpl w:val="81D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2038D"/>
    <w:multiLevelType w:val="multilevel"/>
    <w:tmpl w:val="DEF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2DB"/>
    <w:rsid w:val="00116065"/>
    <w:rsid w:val="0014700D"/>
    <w:rsid w:val="0015494F"/>
    <w:rsid w:val="0026128E"/>
    <w:rsid w:val="0027763B"/>
    <w:rsid w:val="00296C63"/>
    <w:rsid w:val="00330B29"/>
    <w:rsid w:val="00363315"/>
    <w:rsid w:val="003A3C83"/>
    <w:rsid w:val="003D2768"/>
    <w:rsid w:val="00465ED8"/>
    <w:rsid w:val="004F469E"/>
    <w:rsid w:val="0065509B"/>
    <w:rsid w:val="006902CF"/>
    <w:rsid w:val="007B45F6"/>
    <w:rsid w:val="00831B7F"/>
    <w:rsid w:val="00881E96"/>
    <w:rsid w:val="00895865"/>
    <w:rsid w:val="00A47DAD"/>
    <w:rsid w:val="00C762DB"/>
    <w:rsid w:val="00D3091C"/>
    <w:rsid w:val="00DB1DEC"/>
    <w:rsid w:val="00DE3334"/>
    <w:rsid w:val="00DF469F"/>
    <w:rsid w:val="00EA33ED"/>
    <w:rsid w:val="00EB52B2"/>
    <w:rsid w:val="00F6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83"/>
  </w:style>
  <w:style w:type="paragraph" w:styleId="Heading3">
    <w:name w:val="heading 3"/>
    <w:basedOn w:val="Normal"/>
    <w:link w:val="Heading3Char"/>
    <w:uiPriority w:val="9"/>
    <w:qFormat/>
    <w:rsid w:val="00C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62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2DB"/>
    <w:rPr>
      <w:b/>
      <w:bCs/>
    </w:rPr>
  </w:style>
  <w:style w:type="character" w:styleId="Emphasis">
    <w:name w:val="Emphasis"/>
    <w:basedOn w:val="DefaultParagraphFont"/>
    <w:uiPriority w:val="20"/>
    <w:qFormat/>
    <w:rsid w:val="00C762D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62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62D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62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62D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762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3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7784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single" w:sz="6" w:space="23" w:color="E9E9E9"/>
                            <w:left w:val="single" w:sz="6" w:space="15" w:color="E9E9E9"/>
                            <w:bottom w:val="single" w:sz="6" w:space="23" w:color="E9E9E9"/>
                            <w:right w:val="single" w:sz="6" w:space="15" w:color="E9E9E9"/>
                          </w:divBdr>
                          <w:divsChild>
                            <w:div w:id="8546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1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0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39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395CA3"/>
            <w:right w:val="none" w:sz="0" w:space="0" w:color="auto"/>
          </w:divBdr>
          <w:divsChild>
            <w:div w:id="583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esonzoology.com/wp-content/uploads/2016/07/clip_image028_thumb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www.notesonzoology.com/wp-content/uploads/2016/07/clip_image029_thumb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</dc:creator>
  <cp:lastModifiedBy>Medha</cp:lastModifiedBy>
  <cp:revision>20</cp:revision>
  <dcterms:created xsi:type="dcterms:W3CDTF">2019-06-15T22:12:00Z</dcterms:created>
  <dcterms:modified xsi:type="dcterms:W3CDTF">2020-07-21T06:13:00Z</dcterms:modified>
</cp:coreProperties>
</file>